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B8" w:rsidRDefault="001C2664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:rsidR="00A953B8" w:rsidRDefault="001C2664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:rsidR="00A953B8" w:rsidRDefault="00A953B8">
      <w:pPr>
        <w:pStyle w:val="Corpotesto"/>
        <w:ind w:left="0"/>
        <w:jc w:val="left"/>
        <w:rPr>
          <w:sz w:val="22"/>
        </w:rPr>
      </w:pPr>
    </w:p>
    <w:p w:rsidR="00A953B8" w:rsidRDefault="00A953B8">
      <w:pPr>
        <w:pStyle w:val="Corpotesto"/>
        <w:spacing w:before="67"/>
        <w:ind w:left="0"/>
        <w:jc w:val="left"/>
        <w:rPr>
          <w:sz w:val="22"/>
        </w:rPr>
      </w:pPr>
    </w:p>
    <w:p w:rsidR="00A953B8" w:rsidRDefault="001C2664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A953B8" w:rsidRDefault="001C2664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0171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aJQIAAH8EAAAOAAAAZHJzL2Uyb0RvYy54bWysVMFu2zAMvQ/YPwi6L7azY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953B8" w:rsidRDefault="00A953B8">
      <w:pPr>
        <w:pStyle w:val="Corpotesto"/>
        <w:ind w:left="0"/>
        <w:jc w:val="left"/>
        <w:rPr>
          <w:sz w:val="22"/>
        </w:rPr>
      </w:pPr>
    </w:p>
    <w:p w:rsidR="00A953B8" w:rsidRDefault="00A953B8">
      <w:pPr>
        <w:pStyle w:val="Corpotesto"/>
        <w:spacing w:before="120"/>
        <w:ind w:left="0"/>
        <w:jc w:val="left"/>
        <w:rPr>
          <w:sz w:val="22"/>
        </w:rPr>
      </w:pPr>
    </w:p>
    <w:p w:rsidR="00A953B8" w:rsidRDefault="001C2664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:rsidR="00A953B8" w:rsidRDefault="001C2664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:rsidR="00A953B8" w:rsidRDefault="00A953B8">
      <w:pPr>
        <w:pStyle w:val="Corpotesto"/>
        <w:spacing w:before="267"/>
        <w:ind w:left="0"/>
        <w:jc w:val="left"/>
        <w:rPr>
          <w:sz w:val="22"/>
        </w:rPr>
      </w:pPr>
    </w:p>
    <w:p w:rsidR="00A953B8" w:rsidRDefault="001C2664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:rsidR="00A953B8" w:rsidRDefault="00A953B8">
      <w:pPr>
        <w:pStyle w:val="Corpotesto"/>
        <w:ind w:left="0"/>
        <w:jc w:val="left"/>
        <w:rPr>
          <w:b/>
          <w:sz w:val="20"/>
        </w:rPr>
      </w:pPr>
    </w:p>
    <w:p w:rsidR="00A953B8" w:rsidRDefault="00A953B8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A953B8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:rsidR="00A953B8" w:rsidRDefault="001C2664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:rsidR="00A953B8" w:rsidRDefault="001C2664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A953B8">
        <w:trPr>
          <w:trHeight w:val="244"/>
        </w:trPr>
        <w:tc>
          <w:tcPr>
            <w:tcW w:w="7157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953B8">
        <w:trPr>
          <w:trHeight w:val="1216"/>
        </w:trPr>
        <w:tc>
          <w:tcPr>
            <w:tcW w:w="7157" w:type="dxa"/>
          </w:tcPr>
          <w:p w:rsidR="00A953B8" w:rsidRDefault="001C2664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:rsidR="00A953B8" w:rsidRDefault="001C2664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</w:t>
            </w:r>
            <w:r>
              <w:rPr>
                <w:sz w:val="20"/>
              </w:rPr>
              <w:t>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971"/>
        </w:trPr>
        <w:tc>
          <w:tcPr>
            <w:tcW w:w="7157" w:type="dxa"/>
          </w:tcPr>
          <w:p w:rsidR="00A953B8" w:rsidRDefault="001C2664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3491"/>
        </w:trPr>
        <w:tc>
          <w:tcPr>
            <w:tcW w:w="7157" w:type="dxa"/>
          </w:tcPr>
          <w:p w:rsidR="00A953B8" w:rsidRDefault="001C2664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:rsidR="00A953B8" w:rsidRDefault="001C2664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A953B8" w:rsidRDefault="001C2664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A953B8" w:rsidRDefault="001C2664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A953B8" w:rsidRDefault="001C2664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:rsidR="00A953B8" w:rsidRDefault="001C2664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bookmarkStart w:id="1" w:name="_GoBack"/>
            <w:bookmarkEnd w:id="1"/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53B8" w:rsidRDefault="00A953B8">
      <w:pPr>
        <w:pStyle w:val="TableParagraph"/>
        <w:rPr>
          <w:rFonts w:ascii="Times New Roman"/>
          <w:sz w:val="20"/>
        </w:rPr>
        <w:sectPr w:rsidR="00A953B8">
          <w:footerReference w:type="default" r:id="rId7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A953B8">
        <w:trPr>
          <w:trHeight w:val="268"/>
        </w:trPr>
        <w:tc>
          <w:tcPr>
            <w:tcW w:w="7157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953B8">
        <w:trPr>
          <w:trHeight w:val="4242"/>
        </w:trPr>
        <w:tc>
          <w:tcPr>
            <w:tcW w:w="7157" w:type="dxa"/>
          </w:tcPr>
          <w:p w:rsidR="00A953B8" w:rsidRDefault="001C2664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 xml:space="preserve">B1)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-ruolo o di altro servizio di ruolo riconosciuto o riconoscibile ai fini della carriera o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:rsidR="00A953B8" w:rsidRDefault="001C2664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A953B8" w:rsidRDefault="001C2664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A953B8" w:rsidRDefault="001C2664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A953B8" w:rsidRDefault="001C2664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:rsidR="00A953B8" w:rsidRDefault="001C2664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1703"/>
        </w:trPr>
        <w:tc>
          <w:tcPr>
            <w:tcW w:w="7157" w:type="dxa"/>
          </w:tcPr>
          <w:p w:rsidR="00A953B8" w:rsidRDefault="001C2664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:rsidR="00A953B8" w:rsidRDefault="001C2664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A953B8" w:rsidRDefault="001C2664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2802"/>
        </w:trPr>
        <w:tc>
          <w:tcPr>
            <w:tcW w:w="7157" w:type="dxa"/>
          </w:tcPr>
          <w:p w:rsidR="00A953B8" w:rsidRDefault="001C2664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</w:t>
            </w:r>
            <w:r>
              <w:rPr>
                <w:sz w:val="20"/>
              </w:rPr>
              <w:t>tolica (5) (in aggiunta a quello previsto dalle lettere A), A1), B), B1), B2)</w:t>
            </w:r>
          </w:p>
          <w:p w:rsidR="00A953B8" w:rsidRDefault="001C2664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:rsidR="00A953B8" w:rsidRDefault="001C2664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:rsidR="00A953B8" w:rsidRDefault="001C2664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A953B8" w:rsidRDefault="001C2664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A953B8" w:rsidRDefault="001C2664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971"/>
        </w:trPr>
        <w:tc>
          <w:tcPr>
            <w:tcW w:w="7157" w:type="dxa"/>
          </w:tcPr>
          <w:p w:rsidR="00A953B8" w:rsidRDefault="001C2664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2677"/>
        </w:trPr>
        <w:tc>
          <w:tcPr>
            <w:tcW w:w="7157" w:type="dxa"/>
          </w:tcPr>
          <w:p w:rsidR="00A953B8" w:rsidRDefault="001C2664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:rsidR="00A953B8" w:rsidRDefault="001C2664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:rsidR="00A953B8" w:rsidRDefault="001C2664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</w:t>
            </w:r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1460"/>
        </w:trPr>
        <w:tc>
          <w:tcPr>
            <w:tcW w:w="7157" w:type="dxa"/>
          </w:tcPr>
          <w:p w:rsidR="00A953B8" w:rsidRDefault="001C2664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 e fino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abbiano presentato domanda di trasferimento provinciale o passaggio provinciale o, pur avendo presentato domanda, l’abbiano revocata </w:t>
            </w:r>
            <w:r>
              <w:rPr>
                <w:sz w:val="20"/>
              </w:rPr>
              <w:t>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53B8" w:rsidRDefault="00A953B8">
      <w:pPr>
        <w:pStyle w:val="TableParagraph"/>
        <w:rPr>
          <w:rFonts w:ascii="Times New Roman"/>
          <w:sz w:val="18"/>
        </w:rPr>
        <w:sectPr w:rsidR="00A953B8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:rsidR="00A953B8" w:rsidRDefault="001C2664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:rsidR="00A953B8" w:rsidRDefault="00A953B8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A953B8">
        <w:trPr>
          <w:trHeight w:val="244"/>
        </w:trPr>
        <w:tc>
          <w:tcPr>
            <w:tcW w:w="7584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2" w:name="TIPO_DI_ESIGENZA"/>
            <w:bookmarkEnd w:id="2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953B8">
        <w:trPr>
          <w:trHeight w:val="971"/>
        </w:trPr>
        <w:tc>
          <w:tcPr>
            <w:tcW w:w="7584" w:type="dxa"/>
          </w:tcPr>
          <w:p w:rsidR="00A953B8" w:rsidRDefault="001C2664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484"/>
        </w:trPr>
        <w:tc>
          <w:tcPr>
            <w:tcW w:w="7584" w:type="dxa"/>
          </w:tcPr>
          <w:p w:rsidR="00A953B8" w:rsidRDefault="001C2664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971"/>
        </w:trPr>
        <w:tc>
          <w:tcPr>
            <w:tcW w:w="7584" w:type="dxa"/>
          </w:tcPr>
          <w:p w:rsidR="00A953B8" w:rsidRDefault="001C2664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1218"/>
        </w:trPr>
        <w:tc>
          <w:tcPr>
            <w:tcW w:w="7584" w:type="dxa"/>
          </w:tcPr>
          <w:p w:rsidR="00A953B8" w:rsidRDefault="001C2664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53B8" w:rsidRDefault="00A953B8">
      <w:pPr>
        <w:pStyle w:val="Corpotesto"/>
        <w:spacing w:before="123"/>
        <w:ind w:left="0"/>
        <w:jc w:val="left"/>
        <w:rPr>
          <w:b/>
          <w:sz w:val="22"/>
        </w:rPr>
      </w:pPr>
    </w:p>
    <w:p w:rsidR="00A953B8" w:rsidRDefault="001C2664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15)(</w:t>
      </w:r>
      <w:proofErr w:type="gramEnd"/>
      <w:r>
        <w:rPr>
          <w:b/>
          <w:spacing w:val="-2"/>
        </w:rPr>
        <w:t>17):</w:t>
      </w:r>
    </w:p>
    <w:p w:rsidR="00A953B8" w:rsidRDefault="00A953B8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A953B8">
        <w:trPr>
          <w:trHeight w:val="244"/>
        </w:trPr>
        <w:tc>
          <w:tcPr>
            <w:tcW w:w="7582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3" w:name="TITOLI_GENERALI"/>
            <w:bookmarkEnd w:id="3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A953B8" w:rsidRDefault="001C2664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953B8">
        <w:trPr>
          <w:trHeight w:val="973"/>
        </w:trPr>
        <w:tc>
          <w:tcPr>
            <w:tcW w:w="7582" w:type="dxa"/>
          </w:tcPr>
          <w:p w:rsidR="00A953B8" w:rsidRDefault="001C2664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2800"/>
        </w:trPr>
        <w:tc>
          <w:tcPr>
            <w:tcW w:w="7582" w:type="dxa"/>
          </w:tcPr>
          <w:p w:rsidR="00A953B8" w:rsidRDefault="001C2664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</w:t>
            </w:r>
            <w:r>
              <w:rPr>
                <w:sz w:val="20"/>
              </w:rPr>
              <w:t>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:rsidR="00A953B8" w:rsidRDefault="001C2664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1218"/>
        </w:trPr>
        <w:tc>
          <w:tcPr>
            <w:tcW w:w="7582" w:type="dxa"/>
          </w:tcPr>
          <w:p w:rsidR="00A953B8" w:rsidRDefault="001C2664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:rsidR="00A953B8" w:rsidRDefault="001C2664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2555"/>
        </w:trPr>
        <w:tc>
          <w:tcPr>
            <w:tcW w:w="7582" w:type="dxa"/>
          </w:tcPr>
          <w:p w:rsidR="00A953B8" w:rsidRDefault="001C2664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:rsidR="00A953B8" w:rsidRDefault="001C2664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:rsidR="00A953B8" w:rsidRDefault="001C2664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</w:t>
            </w:r>
            <w:r>
              <w:rPr>
                <w:sz w:val="20"/>
              </w:rPr>
              <w:t xml:space="preserve">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:rsidR="00A953B8" w:rsidRDefault="001C2664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:rsidR="00A953B8" w:rsidRDefault="001C2664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3B8">
        <w:trPr>
          <w:trHeight w:val="1705"/>
        </w:trPr>
        <w:tc>
          <w:tcPr>
            <w:tcW w:w="7582" w:type="dxa"/>
          </w:tcPr>
          <w:p w:rsidR="00A953B8" w:rsidRDefault="001C2664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</w:t>
            </w:r>
            <w:r>
              <w:rPr>
                <w:sz w:val="20"/>
              </w:rPr>
              <w:t>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53B8" w:rsidRDefault="00A953B8">
      <w:pPr>
        <w:pStyle w:val="TableParagraph"/>
        <w:rPr>
          <w:rFonts w:ascii="Times New Roman"/>
          <w:sz w:val="18"/>
        </w:rPr>
        <w:sectPr w:rsidR="00A953B8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A953B8">
        <w:trPr>
          <w:trHeight w:val="268"/>
        </w:trPr>
        <w:tc>
          <w:tcPr>
            <w:tcW w:w="7582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A953B8" w:rsidRDefault="001C266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953B8">
        <w:trPr>
          <w:trHeight w:val="484"/>
        </w:trPr>
        <w:tc>
          <w:tcPr>
            <w:tcW w:w="7582" w:type="dxa"/>
          </w:tcPr>
          <w:p w:rsidR="00A953B8" w:rsidRDefault="001C2664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1460"/>
        </w:trPr>
        <w:tc>
          <w:tcPr>
            <w:tcW w:w="7582" w:type="dxa"/>
          </w:tcPr>
          <w:p w:rsidR="00A953B8" w:rsidRDefault="001C2664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</w:t>
            </w:r>
            <w:r>
              <w:rPr>
                <w:sz w:val="20"/>
              </w:rPr>
              <w:t>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:rsidR="00A953B8" w:rsidRDefault="001C2664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:rsidR="00A953B8" w:rsidRDefault="001C2664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 xml:space="preserve">CLIL di Corso di perfezionamento per </w:t>
            </w:r>
            <w:r>
              <w:rPr>
                <w:sz w:val="20"/>
              </w:rPr>
              <w:t>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:rsidR="00A953B8" w:rsidRDefault="001C2664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>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A953B8" w:rsidRDefault="001C2664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A953B8" w:rsidRDefault="001C2664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:rsidR="00A953B8" w:rsidRDefault="001C2664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:rsidR="00A953B8" w:rsidRDefault="001C2664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:rsidR="00A953B8" w:rsidRDefault="001C2664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:rsidR="00A953B8" w:rsidRDefault="001C2664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:rsidR="00A953B8" w:rsidRDefault="001C2664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3B8">
        <w:trPr>
          <w:trHeight w:val="728"/>
        </w:trPr>
        <w:tc>
          <w:tcPr>
            <w:tcW w:w="7582" w:type="dxa"/>
          </w:tcPr>
          <w:p w:rsidR="00A953B8" w:rsidRDefault="001C2664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953B8" w:rsidRDefault="00A95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53B8" w:rsidRDefault="00A953B8">
      <w:pPr>
        <w:pStyle w:val="Corpotesto"/>
        <w:spacing w:before="18"/>
        <w:ind w:left="0"/>
        <w:jc w:val="left"/>
        <w:rPr>
          <w:b/>
          <w:sz w:val="22"/>
        </w:rPr>
      </w:pPr>
    </w:p>
    <w:p w:rsidR="00A953B8" w:rsidRDefault="001C2664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:rsidR="00A953B8" w:rsidRDefault="00A953B8">
      <w:pPr>
        <w:pStyle w:val="Corpotesto"/>
        <w:ind w:left="0"/>
        <w:jc w:val="left"/>
      </w:pPr>
    </w:p>
    <w:p w:rsidR="00A953B8" w:rsidRDefault="00A953B8">
      <w:pPr>
        <w:pStyle w:val="Corpotesto"/>
        <w:ind w:left="0"/>
        <w:jc w:val="left"/>
      </w:pPr>
    </w:p>
    <w:p w:rsidR="00A953B8" w:rsidRDefault="00A953B8">
      <w:pPr>
        <w:pStyle w:val="Corpotesto"/>
        <w:ind w:left="0"/>
        <w:jc w:val="left"/>
      </w:pPr>
    </w:p>
    <w:p w:rsidR="00A953B8" w:rsidRDefault="00A953B8">
      <w:pPr>
        <w:pStyle w:val="Corpotesto"/>
        <w:ind w:left="0"/>
        <w:jc w:val="left"/>
      </w:pPr>
    </w:p>
    <w:p w:rsidR="00A953B8" w:rsidRDefault="00A953B8">
      <w:pPr>
        <w:pStyle w:val="Corpotesto"/>
        <w:ind w:left="0"/>
        <w:jc w:val="left"/>
      </w:pPr>
    </w:p>
    <w:p w:rsidR="00A953B8" w:rsidRDefault="00A953B8">
      <w:pPr>
        <w:pStyle w:val="Corpotesto"/>
        <w:spacing w:before="2"/>
        <w:ind w:left="0"/>
        <w:jc w:val="left"/>
      </w:pPr>
    </w:p>
    <w:p w:rsidR="00A953B8" w:rsidRDefault="001C2664">
      <w:pPr>
        <w:pStyle w:val="Corpotesto"/>
        <w:spacing w:line="177" w:lineRule="exact"/>
        <w:ind w:left="6317"/>
        <w:jc w:val="left"/>
        <w:rPr>
          <w:rFonts w:ascii="Arial MT"/>
        </w:rPr>
      </w:pPr>
      <w:proofErr w:type="spellStart"/>
      <w:r>
        <w:rPr>
          <w:rFonts w:ascii="Arial MT"/>
          <w:spacing w:val="-2"/>
        </w:rPr>
        <w:t>oijjkhjhh</w:t>
      </w:r>
      <w:proofErr w:type="spellEnd"/>
    </w:p>
    <w:p w:rsidR="00A953B8" w:rsidRDefault="001C2664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:rsidR="00A953B8" w:rsidRDefault="00A953B8">
      <w:pPr>
        <w:spacing w:line="237" w:lineRule="exact"/>
        <w:rPr>
          <w:sz w:val="20"/>
        </w:rPr>
        <w:sectPr w:rsidR="00A953B8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:rsidR="00A953B8" w:rsidRDefault="001C2664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:rsidR="00A953B8" w:rsidRDefault="00A953B8">
      <w:pPr>
        <w:pStyle w:val="Corpotesto"/>
        <w:spacing w:before="120"/>
        <w:ind w:left="0"/>
        <w:jc w:val="left"/>
        <w:rPr>
          <w:b/>
        </w:rPr>
      </w:pPr>
    </w:p>
    <w:p w:rsidR="00A953B8" w:rsidRDefault="001C2664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:rsidR="00A953B8" w:rsidRDefault="001C2664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</w:t>
      </w:r>
      <w:r>
        <w:t xml:space="preserve"> n. 463/78, come insegnanti di scuola materna.</w:t>
      </w:r>
    </w:p>
    <w:p w:rsidR="00A953B8" w:rsidRDefault="001C2664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:rsidR="00A953B8" w:rsidRDefault="001C2664">
      <w:pPr>
        <w:pStyle w:val="Corpotesto"/>
        <w:ind w:left="283" w:right="140"/>
      </w:pPr>
      <w:r>
        <w:t>Per ogni anno di insegnamento prestato, con il possesso del prescritto titolo di s</w:t>
      </w:r>
      <w:r>
        <w:t>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</w:t>
      </w:r>
      <w:r>
        <w:t>tico differenziato, sia, infine, per posti di sostegno il punteggio è raddoppiato.</w:t>
      </w:r>
    </w:p>
    <w:p w:rsidR="00A953B8" w:rsidRDefault="001C2664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 xml:space="preserve">punteggio è raddoppiato. Per </w:t>
      </w:r>
      <w:r>
        <w:t>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</w:t>
      </w:r>
      <w:r>
        <w:rPr>
          <w:sz w:val="16"/>
        </w:rPr>
        <w:t>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 xml:space="preserve">La dizione “piccole isole” è </w:t>
      </w:r>
      <w:r>
        <w:rPr>
          <w:sz w:val="16"/>
        </w:rPr>
        <w:t>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</w:t>
      </w:r>
      <w:r>
        <w:rPr>
          <w:sz w:val="16"/>
        </w:rPr>
        <w:t>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:rsidR="00A953B8" w:rsidRDefault="001C2664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 xml:space="preserve">appartenenza, è </w:t>
      </w:r>
      <w:r>
        <w:t>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>-ruolo e un precedente servizio di altro ruolo è valutato 6 punti per ogni anno per tutti gli anni. Il se</w:t>
      </w:r>
      <w:r>
        <w:t xml:space="preserve">rvizio </w:t>
      </w:r>
      <w:proofErr w:type="spellStart"/>
      <w:r>
        <w:t>pre</w:t>
      </w:r>
      <w:proofErr w:type="spellEnd"/>
      <w:r>
        <w:t>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:rsidR="00A953B8" w:rsidRDefault="001C2664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A953B8" w:rsidRDefault="001C2664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A953B8" w:rsidRDefault="001C2664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:rsidR="00A953B8" w:rsidRDefault="001C2664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:rsidR="00A953B8" w:rsidRDefault="001C2664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un precedente servizio di ruolo e di </w:t>
      </w:r>
      <w:proofErr w:type="spellStart"/>
      <w:r>
        <w:t>pre</w:t>
      </w:r>
      <w:proofErr w:type="spellEnd"/>
      <w:r>
        <w:t>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 xml:space="preserve">di servizio di ruolo e di </w:t>
      </w:r>
      <w:proofErr w:type="spellStart"/>
      <w:r>
        <w:t>pre</w:t>
      </w:r>
      <w:proofErr w:type="spellEnd"/>
      <w:r>
        <w:t>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</w:t>
      </w:r>
      <w:r>
        <w:t>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grado. Gli anni di un precedente servizio di ruolo e di </w:t>
      </w:r>
      <w:proofErr w:type="spellStart"/>
      <w:r>
        <w:t>pre</w:t>
      </w:r>
      <w:proofErr w:type="spellEnd"/>
      <w:r>
        <w:t>-ruolo prestato nella scuola secondaria di primo grado si valutano 3 punti per ogni</w:t>
      </w:r>
      <w:r>
        <w:rPr>
          <w:spacing w:val="40"/>
        </w:rPr>
        <w:t xml:space="preserve"> </w:t>
      </w:r>
      <w:r>
        <w:t>anno per tutt</w:t>
      </w:r>
      <w:r>
        <w:t>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</w:t>
      </w:r>
      <w:r>
        <w:t>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</w:t>
      </w:r>
      <w:r>
        <w:t>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 xml:space="preserve">successive integrazioni, ovvero il servizio </w:t>
      </w:r>
      <w:proofErr w:type="spellStart"/>
      <w:r>
        <w:t>pre</w:t>
      </w:r>
      <w:proofErr w:type="spellEnd"/>
      <w:r>
        <w:t>-ruolo prestato senza il prescritto titolo di specializz</w:t>
      </w:r>
      <w:r>
        <w:t>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</w:t>
      </w:r>
      <w:r>
        <w:t>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</w:t>
      </w:r>
      <w:r>
        <w:t xml:space="preserve">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</w:t>
      </w:r>
      <w:r>
        <w:t>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</w:t>
      </w:r>
      <w:r>
        <w:t>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</w:t>
      </w:r>
      <w:r>
        <w:rPr>
          <w:sz w:val="16"/>
        </w:rPr>
        <w:t>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</w:t>
      </w:r>
      <w:r>
        <w:rPr>
          <w:sz w:val="16"/>
        </w:rPr>
        <w:t>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</w:t>
      </w:r>
      <w:r>
        <w:rPr>
          <w:sz w:val="16"/>
        </w:rPr>
        <w:t>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</w:t>
      </w:r>
      <w:r>
        <w:rPr>
          <w:sz w:val="16"/>
        </w:rPr>
        <w:t>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</w:t>
      </w:r>
      <w:r>
        <w:rPr>
          <w:sz w:val="16"/>
        </w:rPr>
        <w:t xml:space="preserve">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</w:t>
      </w:r>
      <w:r>
        <w:rPr>
          <w:sz w:val="16"/>
        </w:rPr>
        <w:t xml:space="preserve">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periodo coperto da decorrenza giuridica retroattiva della nomina) e la prestazione del se</w:t>
      </w:r>
      <w:r>
        <w:rPr>
          <w:sz w:val="16"/>
        </w:rPr>
        <w:t>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</w:t>
      </w:r>
      <w:r>
        <w:rPr>
          <w:sz w:val="16"/>
        </w:rPr>
        <w:t>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</w:t>
      </w:r>
      <w:r>
        <w:rPr>
          <w:sz w:val="16"/>
        </w:rPr>
        <w:t xml:space="preserve">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didattica è riferita esclusivamente al servizio prestato sullo stesso tipo organico di titolarità (o diurno o serale). Da </w:t>
      </w:r>
      <w:r>
        <w:rPr>
          <w:sz w:val="16"/>
        </w:rPr>
        <w:t>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</w:t>
      </w:r>
      <w:r>
        <w:rPr>
          <w:sz w:val="16"/>
        </w:rPr>
        <w:t xml:space="preserve">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:rsidR="00A953B8" w:rsidRDefault="00A953B8">
      <w:pPr>
        <w:pStyle w:val="Paragrafoelenco"/>
        <w:rPr>
          <w:sz w:val="16"/>
        </w:rPr>
        <w:sectPr w:rsidR="00A953B8">
          <w:pgSz w:w="11910" w:h="16840"/>
          <w:pgMar w:top="1120" w:right="992" w:bottom="800" w:left="850" w:header="0" w:footer="178" w:gutter="0"/>
          <w:cols w:space="720"/>
        </w:sectPr>
      </w:pPr>
    </w:p>
    <w:p w:rsidR="00A953B8" w:rsidRDefault="001C2664">
      <w:pPr>
        <w:pStyle w:val="Corpotesto"/>
        <w:spacing w:before="54"/>
        <w:ind w:right="138"/>
      </w:pPr>
      <w:r>
        <w:lastRenderedPageBreak/>
        <w:t xml:space="preserve">Conseguentemente, il </w:t>
      </w:r>
      <w:r>
        <w:t>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 xml:space="preserve">puerperio, compresi i congedi di cui al decreto legislativo n. 151/2001, per servizio militare di leva o per il sostitutivo servizio </w:t>
      </w:r>
      <w:r>
        <w:t>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</w:t>
      </w:r>
      <w:r>
        <w:t xml:space="preserve">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</w:t>
      </w:r>
      <w:r>
        <w:t>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</w:t>
      </w:r>
      <w:r>
        <w:t>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:rsidR="00A953B8" w:rsidRDefault="001C2664">
      <w:pPr>
        <w:pStyle w:val="Corpotesto"/>
        <w:ind w:right="137"/>
      </w:pPr>
      <w:r>
        <w:t>Non interrompe la maturazione del punteggio della continuità neanche la fruizione del congedo biennale per l’assisten</w:t>
      </w:r>
      <w:r>
        <w:t>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</w:t>
      </w:r>
      <w:r>
        <w:t>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</w:t>
      </w:r>
      <w:r>
        <w:t>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</w:t>
      </w:r>
      <w:r>
        <w:t>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</w:t>
      </w:r>
      <w:r>
        <w:t>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</w:t>
      </w:r>
      <w:r>
        <w:t>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:rsidR="00A953B8" w:rsidRDefault="001C2664">
      <w:pPr>
        <w:pStyle w:val="Corpotesto"/>
        <w:ind w:left="283" w:right="136"/>
      </w:pPr>
      <w:r>
        <w:t>Nei riguardi del personale docente ed educativo soprannumerario trasferito d’ufficio senza aver pr</w:t>
      </w:r>
      <w:r>
        <w:t>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</w:t>
      </w:r>
      <w:r>
        <w:t>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</w:t>
      </w:r>
      <w:r>
        <w:t>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</w:t>
      </w:r>
      <w:r>
        <w:t>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</w:t>
      </w:r>
      <w:r>
        <w:t>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</w:t>
      </w:r>
      <w:r>
        <w:t>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</w:t>
      </w:r>
      <w:r>
        <w:t>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</w:t>
      </w:r>
      <w:r>
        <w:t>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</w:t>
      </w:r>
      <w:r>
        <w:t>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</w:t>
      </w:r>
      <w:r>
        <w:t>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</w:t>
      </w:r>
      <w:r>
        <w:t>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</w:t>
      </w:r>
      <w:r>
        <w:t>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:rsidR="00A953B8" w:rsidRDefault="001C2664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:rsidR="00A953B8" w:rsidRDefault="001C2664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:rsidR="00A953B8" w:rsidRDefault="001C2664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:rsidR="00A953B8" w:rsidRDefault="001C2664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:rsidR="00A953B8" w:rsidRDefault="001C2664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:rsidR="00A953B8" w:rsidRDefault="001C2664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</w:t>
      </w:r>
      <w:r>
        <w:rPr>
          <w:b/>
          <w:sz w:val="16"/>
        </w:rPr>
        <w:t xml:space="preserve">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:rsidR="00A953B8" w:rsidRDefault="001C2664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 xml:space="preserve">periodo considerato. Il punteggio va anche attribuito nel caso di diritto al rientro nel decennio del </w:t>
      </w:r>
      <w:r>
        <w:t>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 xml:space="preserve">condizionata, che abbia richiesto come prima preferenza in ciascun anno </w:t>
      </w:r>
      <w:r>
        <w:t>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</w:t>
      </w:r>
      <w:r>
        <w:t xml:space="preserve">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</w:t>
      </w:r>
      <w:r>
        <w:t>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</w:t>
      </w:r>
      <w:r>
        <w:t>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:rsidR="00A953B8" w:rsidRDefault="001C2664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</w:t>
      </w:r>
      <w:r>
        <w:t>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</w:t>
      </w:r>
      <w:r>
        <w:t>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</w:t>
      </w:r>
      <w:r>
        <w:t>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</w:t>
      </w:r>
      <w:r>
        <w:t xml:space="preserve">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:rsidR="00A953B8" w:rsidRDefault="001C2664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:rsidR="00A953B8" w:rsidRDefault="001C2664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:rsidR="00A953B8" w:rsidRDefault="00A953B8">
      <w:pPr>
        <w:pStyle w:val="Paragrafoelenco"/>
        <w:spacing w:line="195" w:lineRule="exact"/>
        <w:rPr>
          <w:sz w:val="16"/>
        </w:rPr>
        <w:sectPr w:rsidR="00A953B8">
          <w:pgSz w:w="11910" w:h="16840"/>
          <w:pgMar w:top="620" w:right="992" w:bottom="800" w:left="850" w:header="0" w:footer="178" w:gutter="0"/>
          <w:cols w:space="720"/>
        </w:sectPr>
      </w:pPr>
    </w:p>
    <w:p w:rsidR="00A953B8" w:rsidRDefault="001C2664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:rsidR="00A953B8" w:rsidRDefault="001C2664">
      <w:pPr>
        <w:pStyle w:val="Corpotesto"/>
        <w:ind w:right="137"/>
      </w:pPr>
      <w:r>
        <w:t xml:space="preserve">Tale punteggio, una volta acquisito, si perde esclusivamente nel caso in cui si ottenga, </w:t>
      </w:r>
      <w:r>
        <w:t>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 xml:space="preserve">d’ufficio senza aver prodotto domanda o trasferito </w:t>
      </w:r>
      <w:r>
        <w:t>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 xml:space="preserve">comune di </w:t>
      </w:r>
      <w:r>
        <w:t>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 xml:space="preserve">perde il riconoscimento del punteggio aggiuntivo il docente trasferito d’ufficio o a domanda condizionata che nel periodo di </w:t>
      </w:r>
      <w:r>
        <w:t>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</w:t>
      </w:r>
      <w:r>
        <w:t>nteggio non è attribuibile ai docenti ex DOS negli anni interessati.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</w:t>
      </w:r>
      <w:r>
        <w:rPr>
          <w:sz w:val="16"/>
        </w:rPr>
        <w:t>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z w:val="16"/>
        </w:rPr>
        <w:t>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trasferito per servizio nei tre mesi antecedenti alla data di pubblicazione dell'ordinanza. Il punteggio di </w:t>
      </w:r>
      <w:r>
        <w:rPr>
          <w:sz w:val="16"/>
        </w:rPr>
        <w:t>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</w:t>
      </w:r>
      <w:r>
        <w:rPr>
          <w:sz w:val="16"/>
        </w:rPr>
        <w:t>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familiare, ovvero nel comune per il quale sussistono le condizioni </w:t>
      </w:r>
      <w:r>
        <w:rPr>
          <w:sz w:val="16"/>
        </w:rPr>
        <w:t>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comune. I punteggi per le </w:t>
      </w:r>
      <w:r>
        <w:rPr>
          <w:sz w:val="16"/>
        </w:rPr>
        <w:t>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coniuge si intende anche la parte dell’unione civile. Per il convivente di fatto si fa riferimento a quanto previsto dall’art. </w:t>
      </w:r>
      <w:r>
        <w:rPr>
          <w:sz w:val="16"/>
        </w:rPr>
        <w:t>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:rsidR="00A953B8" w:rsidRDefault="001C2664">
      <w:pPr>
        <w:pStyle w:val="Corpotesto"/>
        <w:ind w:right="137" w:hanging="1"/>
      </w:pPr>
      <w:r>
        <w:t>Tale punteggio sp</w:t>
      </w:r>
      <w:r>
        <w:t>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</w:t>
      </w:r>
      <w:r>
        <w:t xml:space="preserve">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</w:t>
      </w:r>
      <w:r>
        <w:t>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</w:t>
      </w:r>
      <w:r>
        <w:t xml:space="preserve">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</w:t>
      </w:r>
      <w:r>
        <w:t>rimento</w:t>
      </w:r>
      <w:r>
        <w:rPr>
          <w:spacing w:val="40"/>
        </w:rPr>
        <w:t xml:space="preserve"> </w:t>
      </w:r>
      <w:r>
        <w:t>d’ufficio del soprannumerario.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:rsidR="00A953B8" w:rsidRDefault="001C2664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:rsidR="00A953B8" w:rsidRDefault="001C2664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</w:t>
      </w:r>
      <w:r>
        <w:rPr>
          <w:sz w:val="16"/>
        </w:rPr>
        <w:t>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:rsidR="00A953B8" w:rsidRDefault="001C2664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</w:t>
      </w:r>
      <w:r>
        <w:rPr>
          <w:sz w:val="16"/>
        </w:rPr>
        <w:t>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</w:t>
      </w:r>
      <w:r>
        <w:rPr>
          <w:sz w:val="16"/>
        </w:rPr>
        <w:t>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</w:t>
      </w:r>
      <w:r>
        <w:rPr>
          <w:sz w:val="16"/>
        </w:rPr>
        <w:t xml:space="preserve">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</w:t>
      </w:r>
      <w:r>
        <w:rPr>
          <w:sz w:val="16"/>
        </w:rPr>
        <w:t>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:rsidR="00A953B8" w:rsidRDefault="001C2664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</w:t>
      </w:r>
      <w:r>
        <w:rPr>
          <w:sz w:val="16"/>
        </w:rPr>
        <w:t>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 xml:space="preserve">Il punteggio va attribuito al personale in possesso di laurea. Vanno riconosciuti oltre ai corsi </w:t>
      </w:r>
      <w:r>
        <w:rPr>
          <w:sz w:val="16"/>
        </w:rPr>
        <w:t>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</w:t>
      </w:r>
      <w:r>
        <w:rPr>
          <w:sz w:val="16"/>
        </w:rPr>
        <w:t>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:rsidR="00A953B8" w:rsidRDefault="001C2664">
      <w:pPr>
        <w:pStyle w:val="Corpotesto"/>
        <w:spacing w:before="120"/>
        <w:ind w:left="283" w:right="139"/>
      </w:pPr>
      <w:r>
        <w:t>(11 bis) Si ricor</w:t>
      </w:r>
      <w:r>
        <w:t>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</w:t>
      </w:r>
      <w:r>
        <w:t>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</w:t>
      </w:r>
      <w:r>
        <w:t>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</w:t>
      </w:r>
      <w:r>
        <w:t>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:rsidR="00A953B8" w:rsidRDefault="00A953B8">
      <w:pPr>
        <w:pStyle w:val="Corpotesto"/>
        <w:sectPr w:rsidR="00A953B8">
          <w:pgSz w:w="11910" w:h="16840"/>
          <w:pgMar w:top="620" w:right="992" w:bottom="800" w:left="850" w:header="0" w:footer="178" w:gutter="0"/>
          <w:cols w:space="720"/>
        </w:sectPr>
      </w:pP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</w:t>
      </w:r>
      <w:r>
        <w:rPr>
          <w:sz w:val="16"/>
        </w:rPr>
        <w:t>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</w:t>
      </w:r>
      <w:r>
        <w:rPr>
          <w:sz w:val="16"/>
        </w:rPr>
        <w:t>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rispetto al diploma </w:t>
      </w:r>
      <w:r>
        <w:rPr>
          <w:sz w:val="16"/>
        </w:rPr>
        <w:t>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</w:t>
      </w:r>
      <w:r>
        <w:rPr>
          <w:sz w:val="16"/>
        </w:rPr>
        <w:t>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</w:t>
      </w:r>
      <w:r>
        <w:rPr>
          <w:sz w:val="16"/>
        </w:rPr>
        <w:t>ello necessario per l’accesso al ruolo di appartenenza. Il diploma di laurea in Didattica della musica non si valuta:</w:t>
      </w:r>
    </w:p>
    <w:p w:rsidR="00A953B8" w:rsidRDefault="001C2664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:rsidR="00A953B8" w:rsidRDefault="001C2664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</w:t>
      </w:r>
      <w:r>
        <w:rPr>
          <w:sz w:val="16"/>
        </w:rPr>
        <w:t xml:space="preserve">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legis</w:t>
      </w:r>
      <w:proofErr w:type="spellEnd"/>
      <w:r>
        <w:rPr>
          <w:sz w:val="16"/>
        </w:rPr>
        <w:t xml:space="preserve">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comma 2 bis del decreto-legge 3 luglio 2001, n. 255, convertito con modificazioni dalla L. n. 333/2001; art. 2, comma </w:t>
      </w:r>
      <w:r>
        <w:rPr>
          <w:sz w:val="16"/>
        </w:rPr>
        <w:t>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</w:t>
      </w:r>
      <w:r>
        <w:rPr>
          <w:sz w:val="16"/>
        </w:rPr>
        <w:t>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:rsidR="00A953B8" w:rsidRDefault="001C2664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A953B8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64" w:rsidRDefault="001C2664">
      <w:r>
        <w:separator/>
      </w:r>
    </w:p>
  </w:endnote>
  <w:endnote w:type="continuationSeparator" w:id="0">
    <w:p w:rsidR="001C2664" w:rsidRDefault="001C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B8" w:rsidRDefault="001C2664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3B8" w:rsidRDefault="001C2664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3pt;margin-top:817.95pt;width:11.6pt;height:1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" filled="f" stroked="f">
              <v:textbox inset="0,0,0,0">
                <w:txbxContent>
                  <w:p w:rsidR="00A953B8" w:rsidRDefault="001C2664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B8" w:rsidRDefault="001C2664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26208" behindDoc="1" locked="0" layoutInCell="1" allowOverlap="1">
          <wp:simplePos x="0" y="0"/>
          <wp:positionH relativeFrom="page">
            <wp:posOffset>317766</wp:posOffset>
          </wp:positionH>
          <wp:positionV relativeFrom="page">
            <wp:posOffset>10175271</wp:posOffset>
          </wp:positionV>
          <wp:extent cx="2004808" cy="30796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808" cy="307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3B8" w:rsidRDefault="001C2664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Elaborazione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cura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Tecnica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-2"/>
                              <w:w w:val="85"/>
                              <w:sz w:val="20"/>
                            </w:rPr>
                            <w:t>Scuola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" filled="f" stroked="f">
              <v:textbox inset="0,0,0,0">
                <w:txbxContent>
                  <w:p w:rsidR="00A953B8" w:rsidRDefault="001C2664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Elaborazione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cura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Tecnica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spacing w:val="-2"/>
                        <w:w w:val="85"/>
                        <w:sz w:val="20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3B8" w:rsidRDefault="001C2664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IFqgEAAEUDAAAOAAAAZHJzL2Uyb0RvYy54bWysUsFu2zAMvQ/oPwi6N3LSYdm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" filled="f" stroked="f">
              <v:textbox inset="0,0,0,0">
                <w:txbxContent>
                  <w:p w:rsidR="00A953B8" w:rsidRDefault="001C2664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64" w:rsidRDefault="001C2664">
      <w:r>
        <w:separator/>
      </w:r>
    </w:p>
  </w:footnote>
  <w:footnote w:type="continuationSeparator" w:id="0">
    <w:p w:rsidR="001C2664" w:rsidRDefault="001C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B23"/>
    <w:multiLevelType w:val="hybridMultilevel"/>
    <w:tmpl w:val="1BFA9E46"/>
    <w:lvl w:ilvl="0" w:tplc="5D3C1AB2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230E630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2C60694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98E4F3C8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C4547A42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BC00D404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43CA0E1A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7E1A46D8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23A27638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1C1636DB"/>
    <w:multiLevelType w:val="hybridMultilevel"/>
    <w:tmpl w:val="815C0CDC"/>
    <w:lvl w:ilvl="0" w:tplc="C742E1E8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10DB8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4EE0390A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90048FC2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9C8C4B2E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7CAEA0FE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ACD05576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237E230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A976C552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25BF4047"/>
    <w:multiLevelType w:val="hybridMultilevel"/>
    <w:tmpl w:val="4016D9CE"/>
    <w:lvl w:ilvl="0" w:tplc="512209C0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D0D412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77A8F11A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1C7285B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02387CF8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A6744B16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0F1E2E88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7014343C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42D089AC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272C78A5"/>
    <w:multiLevelType w:val="hybridMultilevel"/>
    <w:tmpl w:val="4F3409FA"/>
    <w:lvl w:ilvl="0" w:tplc="1F94CFA0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A4C258F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620497D6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5F12B56A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4380012E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B3CE92C4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D0EA1C60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D6F4F0D2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5E3808D6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34A90249"/>
    <w:multiLevelType w:val="hybridMultilevel"/>
    <w:tmpl w:val="D3169A9C"/>
    <w:lvl w:ilvl="0" w:tplc="C1CC41E0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7CE10E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B8A7082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BD200FBA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9D729F8C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242CFA92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74C07C22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8A7E6606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5844BD12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40AC41DF"/>
    <w:multiLevelType w:val="hybridMultilevel"/>
    <w:tmpl w:val="AA5866E8"/>
    <w:lvl w:ilvl="0" w:tplc="5596C6F6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D6A4A2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4AD645E6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1B480742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490FE52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43E2C80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28E42590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7BFAB8CE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3B6C0D06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42F03B90"/>
    <w:multiLevelType w:val="hybridMultilevel"/>
    <w:tmpl w:val="87544134"/>
    <w:lvl w:ilvl="0" w:tplc="D4542BD0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4E72D6D0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650E21B2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1E98EF40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0168428E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CDB0602C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E3E08B80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45984D4C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BBE4C7D8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7" w15:restartNumberingAfterBreak="0">
    <w:nsid w:val="50982717"/>
    <w:multiLevelType w:val="hybridMultilevel"/>
    <w:tmpl w:val="C7C0B036"/>
    <w:lvl w:ilvl="0" w:tplc="9364FC36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56764540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34A29AD4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2A00A3D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37B2F7F6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447234F4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E6A83A8E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B0869868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48CC4556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75441005"/>
    <w:multiLevelType w:val="hybridMultilevel"/>
    <w:tmpl w:val="95EC1704"/>
    <w:lvl w:ilvl="0" w:tplc="6DCE18B6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E84CC4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84040810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A726C802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987A2434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5248243C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8D5C8FC2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A14EAF0E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2D1E528C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9" w15:restartNumberingAfterBreak="0">
    <w:nsid w:val="7B16560A"/>
    <w:multiLevelType w:val="hybridMultilevel"/>
    <w:tmpl w:val="EF6E009C"/>
    <w:lvl w:ilvl="0" w:tplc="98D470A8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638E3D6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16F29C66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8AB27818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D5CCAD6C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9E3E2E80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4E92B316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F9BEA038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161A63BA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B8"/>
    <w:rsid w:val="001C2664"/>
    <w:rsid w:val="002C2A75"/>
    <w:rsid w:val="0035229C"/>
    <w:rsid w:val="00A953B8"/>
    <w:rsid w:val="00D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9EBB0-1E26-490B-9AFC-17F9FD1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2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A7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2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A7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Brunella</cp:lastModifiedBy>
  <cp:revision>2</cp:revision>
  <dcterms:created xsi:type="dcterms:W3CDTF">2025-03-06T10:06:00Z</dcterms:created>
  <dcterms:modified xsi:type="dcterms:W3CDTF">2025-03-06T10:06:00Z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2025-03-06T00:00:00Z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